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27" w:rsidRDefault="00B51827" w:rsidP="00B51827">
      <w:pPr>
        <w:spacing w:line="640" w:lineRule="exact"/>
        <w:ind w:leftChars="224" w:left="470" w:rightChars="241" w:right="506"/>
        <w:jc w:val="center"/>
        <w:rPr>
          <w:rFonts w:ascii="小标宋" w:eastAsia="小标宋"/>
          <w:sz w:val="40"/>
          <w:szCs w:val="24"/>
        </w:rPr>
      </w:pPr>
      <w:r w:rsidRPr="000400B8">
        <w:rPr>
          <w:rFonts w:ascii="小标宋" w:eastAsia="小标宋" w:hint="eastAsia"/>
          <w:sz w:val="44"/>
          <w:szCs w:val="24"/>
        </w:rPr>
        <w:t>关于</w:t>
      </w:r>
      <w:r>
        <w:rPr>
          <w:rFonts w:ascii="小标宋" w:eastAsia="小标宋" w:hint="eastAsia"/>
          <w:sz w:val="44"/>
          <w:szCs w:val="24"/>
        </w:rPr>
        <w:t>入围</w:t>
      </w:r>
      <w:r w:rsidRPr="000400B8">
        <w:rPr>
          <w:rFonts w:ascii="小标宋" w:eastAsia="小标宋" w:hint="eastAsia"/>
          <w:sz w:val="44"/>
          <w:szCs w:val="24"/>
        </w:rPr>
        <w:t>“哈电集团评估机构备选库”相关事宜的通知</w:t>
      </w:r>
    </w:p>
    <w:p w:rsidR="00B51827" w:rsidRPr="00202B00" w:rsidRDefault="00B51827" w:rsidP="00B51827">
      <w:pPr>
        <w:spacing w:line="500" w:lineRule="exact"/>
        <w:jc w:val="left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评估机构：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为规范企业国有资产评估行为，维护国有资产出资人合法权益，促进企业国有产权有序流转，防止国有资产流失，根据《关于规范中央企业选聘评估机构工作的指导意见》（国资发产权[2011]68号，以下简称《意见》）、《关于加强中央企业评估机构备选库管理有关事项的通知》（国资发产权[2016]42号，以下简称《通知》）和</w:t>
      </w:r>
      <w:r w:rsidRPr="004574B0">
        <w:rPr>
          <w:rFonts w:ascii="标准公文_仿宋" w:eastAsia="标准公文_仿宋" w:hAnsi="仿宋" w:hint="eastAsia"/>
          <w:sz w:val="32"/>
          <w:szCs w:val="32"/>
        </w:rPr>
        <w:t>《哈尔滨电气集团公司选聘评估机构管理办法》（哈电集团党发〔2022〕84号</w:t>
      </w:r>
      <w:r w:rsidRPr="00202B00">
        <w:rPr>
          <w:rFonts w:ascii="标准公文_仿宋" w:eastAsia="标准公文_仿宋" w:hint="eastAsia"/>
          <w:sz w:val="32"/>
          <w:szCs w:val="32"/>
        </w:rPr>
        <w:t>，简称《选聘办法》）等有关</w:t>
      </w:r>
      <w:bookmarkStart w:id="0" w:name="_GoBack"/>
      <w:bookmarkEnd w:id="0"/>
      <w:r w:rsidRPr="00202B00">
        <w:rPr>
          <w:rFonts w:ascii="标准公文_仿宋" w:eastAsia="标准公文_仿宋" w:hint="eastAsia"/>
          <w:sz w:val="32"/>
          <w:szCs w:val="32"/>
        </w:rPr>
        <w:t>规定，集团公司在网站发布公告，面向社会公开招聘评估机构，按照“公开、公平、公正”的原则，更新了 “哈电集团评估机构备选库”，并按照有关规定进行了公告。现将“哈电集团评估机构备选库”入围名单（见附件）印发给你们，并就有关要求通知如下：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黑体" w:eastAsia="黑体" w:hAnsi="黑体"/>
          <w:sz w:val="32"/>
          <w:szCs w:val="32"/>
        </w:rPr>
      </w:pPr>
      <w:r w:rsidRPr="00202B00">
        <w:rPr>
          <w:rFonts w:ascii="黑体" w:eastAsia="黑体" w:hAnsi="黑体" w:hint="eastAsia"/>
          <w:sz w:val="32"/>
          <w:szCs w:val="32"/>
        </w:rPr>
        <w:t>一、基本要求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1</w:t>
      </w:r>
      <w:r w:rsidRPr="00202B00">
        <w:rPr>
          <w:rFonts w:ascii="标准公文_仿宋" w:eastAsia="标准公文_仿宋"/>
          <w:sz w:val="32"/>
          <w:szCs w:val="32"/>
        </w:rPr>
        <w:t>.严格遵守国家法律法规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评估准则和职业道德准则</w:t>
      </w:r>
      <w:r w:rsidRPr="00202B00">
        <w:rPr>
          <w:rFonts w:ascii="标准公文_仿宋" w:eastAsia="标准公文_仿宋" w:hint="eastAsia"/>
          <w:sz w:val="32"/>
          <w:szCs w:val="32"/>
        </w:rPr>
        <w:t>，</w:t>
      </w:r>
      <w:r w:rsidRPr="00202B00">
        <w:rPr>
          <w:rFonts w:ascii="标准公文_仿宋" w:eastAsia="标准公文_仿宋"/>
          <w:sz w:val="32"/>
          <w:szCs w:val="32"/>
        </w:rPr>
        <w:t>勤勉尽责</w:t>
      </w:r>
      <w:r w:rsidRPr="00202B00">
        <w:rPr>
          <w:rFonts w:ascii="标准公文_仿宋" w:eastAsia="标准公文_仿宋" w:hint="eastAsia"/>
          <w:sz w:val="32"/>
          <w:szCs w:val="32"/>
        </w:rPr>
        <w:t>，</w:t>
      </w:r>
      <w:r w:rsidRPr="00202B00">
        <w:rPr>
          <w:rFonts w:ascii="标准公文_仿宋" w:eastAsia="标准公文_仿宋"/>
          <w:sz w:val="32"/>
          <w:szCs w:val="32"/>
        </w:rPr>
        <w:t>诚实守信</w:t>
      </w:r>
      <w:r w:rsidRPr="00202B00">
        <w:rPr>
          <w:rFonts w:ascii="标准公文_仿宋" w:eastAsia="标准公文_仿宋" w:hint="eastAsia"/>
          <w:sz w:val="32"/>
          <w:szCs w:val="32"/>
        </w:rPr>
        <w:t>确保发表评估意见的客观性、公允性，</w:t>
      </w:r>
      <w:r w:rsidRPr="00202B00">
        <w:rPr>
          <w:rFonts w:ascii="标准公文_仿宋" w:eastAsia="标准公文_仿宋"/>
          <w:sz w:val="32"/>
          <w:szCs w:val="32"/>
        </w:rPr>
        <w:t>一切从防止国有资产流失角度</w:t>
      </w:r>
      <w:r w:rsidRPr="00202B00">
        <w:rPr>
          <w:rFonts w:ascii="标准公文_仿宋" w:eastAsia="标准公文_仿宋" w:hint="eastAsia"/>
          <w:sz w:val="32"/>
          <w:szCs w:val="32"/>
        </w:rPr>
        <w:t>出发，详尽清晰的阐述评估结论的取得、相关数据结论得出的过程。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/>
          <w:sz w:val="32"/>
          <w:szCs w:val="32"/>
        </w:rPr>
        <w:t>2.确保项目团队质量</w:t>
      </w:r>
      <w:r w:rsidRPr="00202B00">
        <w:rPr>
          <w:rFonts w:ascii="标准公文_仿宋" w:eastAsia="标准公文_仿宋" w:hint="eastAsia"/>
          <w:sz w:val="32"/>
          <w:szCs w:val="32"/>
        </w:rPr>
        <w:t>，认真执行三级复核制度，报送备案的评估报告及相关资料</w:t>
      </w:r>
      <w:r w:rsidRPr="00202B00">
        <w:rPr>
          <w:rFonts w:ascii="标准公文_仿宋" w:eastAsia="标准公文_仿宋"/>
          <w:sz w:val="32"/>
          <w:szCs w:val="32"/>
        </w:rPr>
        <w:t>累计出现三次计算错误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表述错误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逻辑错误或业务约定书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评估范围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评估目的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经济行为批准文件及权属证明文件不一致的</w:t>
      </w:r>
      <w:r w:rsidRPr="00202B00">
        <w:rPr>
          <w:rFonts w:ascii="标准公文_仿宋" w:eastAsia="标准公文_仿宋" w:hint="eastAsia"/>
          <w:sz w:val="32"/>
          <w:szCs w:val="32"/>
        </w:rPr>
        <w:t>，</w:t>
      </w:r>
      <w:r w:rsidRPr="00202B00">
        <w:rPr>
          <w:rFonts w:ascii="标准公文_仿宋" w:eastAsia="标准公文_仿宋"/>
          <w:sz w:val="32"/>
          <w:szCs w:val="32"/>
        </w:rPr>
        <w:t>将在备选库中除名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  <w:r w:rsidRPr="00202B00">
        <w:rPr>
          <w:rFonts w:ascii="标准公文_仿宋" w:eastAsia="标准公文_仿宋"/>
          <w:sz w:val="32"/>
          <w:szCs w:val="32"/>
        </w:rPr>
        <w:t>集团公司将上述情况</w:t>
      </w:r>
      <w:r w:rsidRPr="00202B00">
        <w:rPr>
          <w:rFonts w:ascii="标准公文_仿宋" w:eastAsia="标准公文_仿宋" w:hint="eastAsia"/>
          <w:sz w:val="32"/>
          <w:szCs w:val="32"/>
        </w:rPr>
        <w:t>报</w:t>
      </w:r>
      <w:r w:rsidRPr="00202B00">
        <w:rPr>
          <w:rFonts w:ascii="标准公文_仿宋" w:eastAsia="标准公文_仿宋"/>
          <w:sz w:val="32"/>
          <w:szCs w:val="32"/>
        </w:rPr>
        <w:t>告国资委</w:t>
      </w:r>
      <w:r w:rsidRPr="00202B00">
        <w:rPr>
          <w:rFonts w:ascii="标准公文_仿宋" w:eastAsia="标准公文_仿宋" w:hint="eastAsia"/>
          <w:sz w:val="32"/>
          <w:szCs w:val="32"/>
        </w:rPr>
        <w:t>同时</w:t>
      </w:r>
      <w:r w:rsidRPr="00202B00">
        <w:rPr>
          <w:rFonts w:ascii="标准公文_仿宋" w:eastAsia="标准公文_仿宋"/>
          <w:sz w:val="32"/>
          <w:szCs w:val="32"/>
        </w:rPr>
        <w:t>通告各所属企业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/>
          <w:sz w:val="32"/>
          <w:szCs w:val="32"/>
        </w:rPr>
        <w:t>3.</w:t>
      </w:r>
      <w:r w:rsidRPr="00202B00">
        <w:rPr>
          <w:rFonts w:ascii="标准公文_仿宋" w:eastAsia="标准公文_仿宋" w:hint="eastAsia"/>
          <w:sz w:val="32"/>
          <w:szCs w:val="32"/>
        </w:rPr>
        <w:t>能够严格按照《企业国有资产评估报告指南》出具符合标准的评估报告。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黑体" w:eastAsia="黑体" w:hAnsi="黑体"/>
          <w:sz w:val="32"/>
          <w:szCs w:val="32"/>
        </w:rPr>
      </w:pPr>
      <w:r w:rsidRPr="00202B00">
        <w:rPr>
          <w:rFonts w:ascii="标准公文_仿宋" w:eastAsia="标准公文_仿宋"/>
          <w:sz w:val="32"/>
          <w:szCs w:val="32"/>
        </w:rPr>
        <w:lastRenderedPageBreak/>
        <w:t>4.保证投标响应率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黑体" w:eastAsia="黑体" w:hAnsi="黑体"/>
          <w:sz w:val="32"/>
          <w:szCs w:val="32"/>
        </w:rPr>
      </w:pPr>
      <w:r w:rsidRPr="00202B00">
        <w:rPr>
          <w:rFonts w:ascii="黑体" w:eastAsia="黑体" w:hAnsi="黑体"/>
          <w:sz w:val="32"/>
          <w:szCs w:val="32"/>
        </w:rPr>
        <w:t>二</w:t>
      </w:r>
      <w:r w:rsidRPr="00202B00">
        <w:rPr>
          <w:rFonts w:ascii="黑体" w:eastAsia="黑体" w:hAnsi="黑体" w:hint="eastAsia"/>
          <w:sz w:val="32"/>
          <w:szCs w:val="32"/>
        </w:rPr>
        <w:t>、评估报告要求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/>
          <w:sz w:val="32"/>
          <w:szCs w:val="32"/>
        </w:rPr>
        <w:t>1.严格审核评估委托方及资产占有方所提供的相关资料</w:t>
      </w:r>
      <w:r w:rsidRPr="00202B00">
        <w:rPr>
          <w:rFonts w:ascii="标准公文_仿宋" w:eastAsia="标准公文_仿宋" w:hint="eastAsia"/>
          <w:sz w:val="32"/>
          <w:szCs w:val="32"/>
        </w:rPr>
        <w:t>，</w:t>
      </w:r>
      <w:r w:rsidRPr="00202B00">
        <w:rPr>
          <w:rFonts w:ascii="标准公文_仿宋" w:eastAsia="标准公文_仿宋"/>
          <w:sz w:val="32"/>
          <w:szCs w:val="32"/>
        </w:rPr>
        <w:t>核实产权权属信息并确保全部相关资料包含在评估报告中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/>
          <w:sz w:val="32"/>
          <w:szCs w:val="32"/>
        </w:rPr>
        <w:t>2.确保所评估资产均有相应的经济行为批准文件</w:t>
      </w:r>
      <w:r w:rsidRPr="00202B00">
        <w:rPr>
          <w:rFonts w:ascii="标准公文_仿宋" w:eastAsia="标准公文_仿宋" w:hint="eastAsia"/>
          <w:sz w:val="32"/>
          <w:szCs w:val="32"/>
        </w:rPr>
        <w:t>，</w:t>
      </w:r>
      <w:r w:rsidRPr="00202B00">
        <w:rPr>
          <w:rFonts w:ascii="标准公文_仿宋" w:eastAsia="标准公文_仿宋"/>
          <w:sz w:val="32"/>
          <w:szCs w:val="32"/>
        </w:rPr>
        <w:t>范围合理</w:t>
      </w:r>
      <w:r w:rsidRPr="00202B00">
        <w:rPr>
          <w:rFonts w:ascii="标准公文_仿宋" w:eastAsia="标准公文_仿宋" w:hint="eastAsia"/>
          <w:sz w:val="32"/>
          <w:szCs w:val="32"/>
        </w:rPr>
        <w:t>，</w:t>
      </w:r>
      <w:r w:rsidRPr="00202B00">
        <w:rPr>
          <w:rFonts w:ascii="标准公文_仿宋" w:eastAsia="标准公文_仿宋"/>
          <w:sz w:val="32"/>
          <w:szCs w:val="32"/>
        </w:rPr>
        <w:t>目的一致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/>
          <w:sz w:val="32"/>
          <w:szCs w:val="32"/>
        </w:rPr>
        <w:t>3.业务约定</w:t>
      </w:r>
      <w:r w:rsidRPr="00202B00">
        <w:rPr>
          <w:rFonts w:ascii="标准公文_仿宋" w:eastAsia="标准公文_仿宋" w:hint="eastAsia"/>
          <w:sz w:val="32"/>
          <w:szCs w:val="32"/>
        </w:rPr>
        <w:t>书</w:t>
      </w:r>
      <w:r w:rsidRPr="00202B00">
        <w:rPr>
          <w:rFonts w:ascii="标准公文_仿宋" w:eastAsia="标准公文_仿宋"/>
          <w:sz w:val="32"/>
          <w:szCs w:val="32"/>
        </w:rPr>
        <w:t>所指资产及评估目的与评估报告</w:t>
      </w:r>
      <w:r w:rsidRPr="00202B00">
        <w:rPr>
          <w:rFonts w:ascii="标准公文_仿宋" w:eastAsia="标准公文_仿宋" w:hint="eastAsia"/>
          <w:sz w:val="32"/>
          <w:szCs w:val="32"/>
        </w:rPr>
        <w:t>、经济行为批准文件一致。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4</w:t>
      </w:r>
      <w:r w:rsidRPr="00202B00">
        <w:rPr>
          <w:rFonts w:ascii="标准公文_仿宋" w:eastAsia="标准公文_仿宋"/>
          <w:sz w:val="32"/>
          <w:szCs w:val="32"/>
        </w:rPr>
        <w:t>.评估报告内容齐全</w:t>
      </w:r>
      <w:r w:rsidRPr="00202B00">
        <w:rPr>
          <w:rFonts w:ascii="标准公文_仿宋" w:eastAsia="标准公文_仿宋" w:hint="eastAsia"/>
          <w:sz w:val="32"/>
          <w:szCs w:val="32"/>
        </w:rPr>
        <w:t>，</w:t>
      </w:r>
      <w:r w:rsidRPr="00202B00">
        <w:rPr>
          <w:rFonts w:ascii="标准公文_仿宋" w:eastAsia="标准公文_仿宋"/>
          <w:sz w:val="32"/>
          <w:szCs w:val="32"/>
        </w:rPr>
        <w:t>包括评估报告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评估汇总表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评估明细表</w:t>
      </w:r>
      <w:r w:rsidRPr="00202B00">
        <w:rPr>
          <w:rFonts w:ascii="标准公文_仿宋" w:eastAsia="标准公文_仿宋" w:hint="eastAsia"/>
          <w:sz w:val="32"/>
          <w:szCs w:val="32"/>
        </w:rPr>
        <w:t>、以及评估说明。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5</w:t>
      </w:r>
      <w:r w:rsidRPr="00202B00">
        <w:rPr>
          <w:rFonts w:ascii="标准公文_仿宋" w:eastAsia="标准公文_仿宋"/>
          <w:sz w:val="32"/>
          <w:szCs w:val="32"/>
        </w:rPr>
        <w:t>.评估报告没有明显的计算错误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表述错误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逻辑错误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6</w:t>
      </w:r>
      <w:r w:rsidRPr="00202B00">
        <w:rPr>
          <w:rFonts w:ascii="标准公文_仿宋" w:eastAsia="标准公文_仿宋"/>
          <w:sz w:val="32"/>
          <w:szCs w:val="32"/>
        </w:rPr>
        <w:t>.骑缝章完整</w:t>
      </w:r>
      <w:r w:rsidRPr="00202B00">
        <w:rPr>
          <w:rFonts w:ascii="标准公文_仿宋" w:eastAsia="标准公文_仿宋" w:hint="eastAsia"/>
          <w:sz w:val="32"/>
          <w:szCs w:val="32"/>
        </w:rPr>
        <w:t>，</w:t>
      </w:r>
      <w:r w:rsidRPr="00202B00">
        <w:rPr>
          <w:rFonts w:ascii="标准公文_仿宋" w:eastAsia="标准公文_仿宋"/>
          <w:sz w:val="32"/>
          <w:szCs w:val="32"/>
        </w:rPr>
        <w:t>主要附表及评估结论页有制表</w:t>
      </w:r>
      <w:r w:rsidRPr="00202B00">
        <w:rPr>
          <w:rFonts w:ascii="标准公文_仿宋" w:eastAsia="标准公文_仿宋" w:hint="eastAsia"/>
          <w:sz w:val="32"/>
          <w:szCs w:val="32"/>
        </w:rPr>
        <w:t>、</w:t>
      </w:r>
      <w:r w:rsidRPr="00202B00">
        <w:rPr>
          <w:rFonts w:ascii="标准公文_仿宋" w:eastAsia="标准公文_仿宋"/>
          <w:sz w:val="32"/>
          <w:szCs w:val="32"/>
        </w:rPr>
        <w:t>审核及公章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7</w:t>
      </w:r>
      <w:r w:rsidRPr="00202B00">
        <w:rPr>
          <w:rFonts w:ascii="标准公文_仿宋" w:eastAsia="标准公文_仿宋"/>
          <w:sz w:val="32"/>
          <w:szCs w:val="32"/>
        </w:rPr>
        <w:t>.评估结论处简要</w:t>
      </w:r>
      <w:r w:rsidRPr="00202B00">
        <w:rPr>
          <w:rFonts w:ascii="标准公文_仿宋" w:eastAsia="标准公文_仿宋" w:hint="eastAsia"/>
          <w:sz w:val="32"/>
          <w:szCs w:val="32"/>
        </w:rPr>
        <w:t>说明</w:t>
      </w:r>
      <w:r w:rsidRPr="00202B00">
        <w:rPr>
          <w:rFonts w:ascii="标准公文_仿宋" w:eastAsia="标准公文_仿宋"/>
          <w:sz w:val="32"/>
          <w:szCs w:val="32"/>
        </w:rPr>
        <w:t>账面价值与评估值差异原因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</w:p>
    <w:p w:rsidR="00B51827" w:rsidRPr="00202B00" w:rsidRDefault="00B51827" w:rsidP="00B5182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02B00">
        <w:rPr>
          <w:rFonts w:ascii="黑体" w:eastAsia="黑体" w:hAnsi="黑体" w:hint="eastAsia"/>
          <w:sz w:val="32"/>
          <w:szCs w:val="32"/>
        </w:rPr>
        <w:t>三、提供资料要求</w:t>
      </w:r>
    </w:p>
    <w:p w:rsidR="00B51827" w:rsidRPr="00202B00" w:rsidRDefault="00B51827" w:rsidP="00B51827">
      <w:pPr>
        <w:spacing w:line="500" w:lineRule="exact"/>
        <w:ind w:firstLineChars="224" w:firstLine="717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1.每份评估报告提供纸质评估说明，</w:t>
      </w:r>
      <w:r w:rsidRPr="00202B00">
        <w:rPr>
          <w:rFonts w:ascii="标准公文_仿宋" w:eastAsia="标准公文_仿宋"/>
          <w:sz w:val="32"/>
          <w:szCs w:val="32"/>
        </w:rPr>
        <w:t>同时提供一份完整报告</w:t>
      </w:r>
      <w:r w:rsidRPr="00202B00">
        <w:rPr>
          <w:rFonts w:ascii="标准公文_仿宋" w:eastAsia="标准公文_仿宋" w:hint="eastAsia"/>
          <w:sz w:val="32"/>
          <w:szCs w:val="32"/>
        </w:rPr>
        <w:t>（包括附件及评估说明）的</w:t>
      </w:r>
      <w:r w:rsidRPr="00202B00">
        <w:rPr>
          <w:rFonts w:ascii="标准公文_仿宋" w:eastAsia="标准公文_仿宋"/>
          <w:sz w:val="32"/>
          <w:szCs w:val="32"/>
        </w:rPr>
        <w:t>WORD</w:t>
      </w:r>
      <w:r w:rsidRPr="00202B00">
        <w:rPr>
          <w:rFonts w:ascii="标准公文_仿宋" w:eastAsia="标准公文_仿宋" w:hint="eastAsia"/>
          <w:sz w:val="32"/>
          <w:szCs w:val="32"/>
        </w:rPr>
        <w:t>版以及一份</w:t>
      </w:r>
      <w:r w:rsidRPr="00202B00">
        <w:rPr>
          <w:rFonts w:ascii="标准公文_仿宋" w:eastAsia="标准公文_仿宋"/>
          <w:sz w:val="32"/>
          <w:szCs w:val="32"/>
        </w:rPr>
        <w:t>PDF扫描件</w:t>
      </w:r>
      <w:r w:rsidRPr="00202B00">
        <w:rPr>
          <w:rFonts w:ascii="标准公文_仿宋" w:eastAsia="标准公文_仿宋" w:hint="eastAsia"/>
          <w:sz w:val="32"/>
          <w:szCs w:val="32"/>
        </w:rPr>
        <w:t>。</w:t>
      </w:r>
    </w:p>
    <w:p w:rsidR="00B51827" w:rsidRPr="00202B00" w:rsidRDefault="00B51827" w:rsidP="00B51827">
      <w:pPr>
        <w:spacing w:line="500" w:lineRule="exact"/>
        <w:ind w:firstLineChars="200" w:firstLine="640"/>
        <w:rPr>
          <w:rFonts w:ascii="标准公文_仿宋" w:eastAsia="标准公文_仿宋" w:hAnsi="黑体"/>
          <w:sz w:val="32"/>
          <w:szCs w:val="32"/>
        </w:rPr>
      </w:pPr>
      <w:r w:rsidRPr="00202B00">
        <w:rPr>
          <w:rFonts w:ascii="标准公文_仿宋" w:eastAsia="标准公文_仿宋" w:hAnsi="黑体" w:hint="eastAsia"/>
          <w:sz w:val="32"/>
          <w:szCs w:val="32"/>
        </w:rPr>
        <w:t>2.</w:t>
      </w:r>
      <w:r w:rsidRPr="00202B00">
        <w:rPr>
          <w:rFonts w:hint="eastAsia"/>
          <w:sz w:val="32"/>
          <w:szCs w:val="32"/>
        </w:rPr>
        <w:t xml:space="preserve"> </w:t>
      </w:r>
      <w:r w:rsidRPr="00202B00">
        <w:rPr>
          <w:rFonts w:ascii="标准公文_仿宋" w:eastAsia="标准公文_仿宋" w:hAnsi="黑体" w:hint="eastAsia"/>
          <w:sz w:val="32"/>
          <w:szCs w:val="32"/>
        </w:rPr>
        <w:t>能够每年度提供一份哈电集团所属企业资产评估项目详单，内容包括委托单位、产权持有单位、评估报告编号、资产名称、账面原值、账面价值、评估价值以及增值额、增值率等（参照评估明细表格式）。</w:t>
      </w:r>
    </w:p>
    <w:p w:rsidR="00B51827" w:rsidRDefault="00B51827" w:rsidP="00B51827">
      <w:pPr>
        <w:spacing w:line="500" w:lineRule="exact"/>
        <w:ind w:firstLineChars="179" w:firstLine="573"/>
        <w:rPr>
          <w:rFonts w:ascii="标准公文_仿宋" w:eastAsia="标准公文_仿宋"/>
          <w:sz w:val="32"/>
          <w:szCs w:val="32"/>
        </w:rPr>
      </w:pPr>
      <w:r w:rsidRPr="00202B00">
        <w:rPr>
          <w:rFonts w:ascii="标准公文_仿宋" w:eastAsia="标准公文_仿宋" w:hint="eastAsia"/>
          <w:sz w:val="32"/>
          <w:szCs w:val="32"/>
        </w:rPr>
        <w:t>特此通知。</w:t>
      </w:r>
    </w:p>
    <w:p w:rsidR="00B51827" w:rsidRDefault="00B51827" w:rsidP="00B51827">
      <w:pPr>
        <w:spacing w:line="500" w:lineRule="exact"/>
        <w:ind w:firstLineChars="179" w:firstLine="573"/>
        <w:rPr>
          <w:rFonts w:ascii="标准公文_仿宋" w:eastAsia="标准公文_仿宋"/>
          <w:sz w:val="32"/>
          <w:szCs w:val="32"/>
        </w:rPr>
      </w:pPr>
    </w:p>
    <w:p w:rsidR="00B51827" w:rsidRDefault="00B51827" w:rsidP="00B51827">
      <w:pPr>
        <w:spacing w:line="500" w:lineRule="exact"/>
        <w:ind w:firstLineChars="179" w:firstLine="573"/>
        <w:rPr>
          <w:rFonts w:ascii="标准公文_仿宋" w:eastAsia="标准公文_仿宋" w:hint="eastAsia"/>
          <w:sz w:val="32"/>
          <w:szCs w:val="32"/>
        </w:rPr>
      </w:pPr>
    </w:p>
    <w:p w:rsidR="00B51827" w:rsidRPr="008509FD" w:rsidRDefault="00B51827" w:rsidP="00B51827">
      <w:pPr>
        <w:spacing w:line="500" w:lineRule="exact"/>
        <w:ind w:firstLineChars="179" w:firstLine="573"/>
        <w:jc w:val="right"/>
        <w:rPr>
          <w:rFonts w:ascii="标准公文_仿宋" w:eastAsia="标准公文_仿宋" w:hint="eastAsia"/>
          <w:sz w:val="32"/>
          <w:szCs w:val="32"/>
        </w:rPr>
      </w:pPr>
      <w:r>
        <w:rPr>
          <w:rFonts w:ascii="标准公文_仿宋" w:eastAsia="标准公文_仿宋" w:hint="eastAsia"/>
          <w:sz w:val="32"/>
          <w:szCs w:val="32"/>
        </w:rPr>
        <w:t>哈尔滨电气集团有限公司</w:t>
      </w:r>
    </w:p>
    <w:p w:rsidR="00B51827" w:rsidRDefault="00B51827" w:rsidP="00B51827">
      <w:pPr>
        <w:spacing w:line="500" w:lineRule="exact"/>
        <w:ind w:firstLine="540"/>
        <w:jc w:val="left"/>
        <w:rPr>
          <w:rFonts w:ascii="标准公文_仿宋" w:eastAsia="标准公文_仿宋"/>
        </w:rPr>
      </w:pPr>
      <w:r w:rsidRPr="008509FD">
        <w:rPr>
          <w:rFonts w:ascii="标准公文_仿宋" w:eastAsia="标准公文_仿宋" w:hint="eastAsia"/>
          <w:sz w:val="32"/>
          <w:szCs w:val="32"/>
        </w:rPr>
        <w:t xml:space="preserve">                          </w:t>
      </w:r>
      <w:r>
        <w:rPr>
          <w:rFonts w:ascii="标准公文_仿宋" w:eastAsia="标准公文_仿宋"/>
          <w:sz w:val="32"/>
          <w:szCs w:val="32"/>
        </w:rPr>
        <w:t xml:space="preserve">   </w:t>
      </w:r>
      <w:r w:rsidRPr="008509FD">
        <w:rPr>
          <w:rFonts w:ascii="标准公文_仿宋" w:eastAsia="标准公文_仿宋" w:hint="eastAsia"/>
          <w:sz w:val="32"/>
          <w:szCs w:val="32"/>
        </w:rPr>
        <w:t xml:space="preserve"> </w:t>
      </w:r>
      <w:r>
        <w:rPr>
          <w:rFonts w:ascii="标准公文_仿宋" w:eastAsia="标准公文_仿宋"/>
          <w:sz w:val="32"/>
          <w:szCs w:val="32"/>
        </w:rPr>
        <w:t xml:space="preserve">    2024</w:t>
      </w:r>
      <w:r w:rsidRPr="00436FF6">
        <w:rPr>
          <w:rFonts w:ascii="标准公文_仿宋" w:eastAsia="标准公文_仿宋"/>
          <w:sz w:val="32"/>
          <w:szCs w:val="32"/>
        </w:rPr>
        <w:t>年</w:t>
      </w:r>
      <w:r>
        <w:rPr>
          <w:rFonts w:ascii="标准公文_仿宋" w:eastAsia="标准公文_仿宋"/>
          <w:sz w:val="32"/>
          <w:szCs w:val="32"/>
        </w:rPr>
        <w:t>1</w:t>
      </w:r>
      <w:r w:rsidRPr="00436FF6">
        <w:rPr>
          <w:rFonts w:ascii="标准公文_仿宋" w:eastAsia="标准公文_仿宋" w:hint="eastAsia"/>
          <w:sz w:val="32"/>
          <w:szCs w:val="32"/>
        </w:rPr>
        <w:t>月</w:t>
      </w:r>
      <w:r w:rsidRPr="00436FF6">
        <w:rPr>
          <w:rFonts w:ascii="标准公文_仿宋" w:eastAsia="标准公文_仿宋"/>
          <w:sz w:val="32"/>
          <w:szCs w:val="32"/>
        </w:rPr>
        <w:t>2</w:t>
      </w:r>
      <w:r>
        <w:rPr>
          <w:rFonts w:ascii="标准公文_仿宋" w:eastAsia="标准公文_仿宋" w:hint="eastAsia"/>
          <w:sz w:val="32"/>
          <w:szCs w:val="32"/>
        </w:rPr>
        <w:t>日</w:t>
      </w:r>
      <w:r>
        <w:rPr>
          <w:rFonts w:ascii="标准公文_仿宋" w:eastAsia="标准公文_仿宋"/>
        </w:rPr>
        <w:t xml:space="preserve"> </w:t>
      </w:r>
    </w:p>
    <w:p w:rsidR="00B51827" w:rsidRPr="00B06290" w:rsidRDefault="00B51827" w:rsidP="00B51827">
      <w:pPr>
        <w:jc w:val="left"/>
        <w:rPr>
          <w:sz w:val="28"/>
          <w:szCs w:val="28"/>
        </w:rPr>
      </w:pPr>
    </w:p>
    <w:p w:rsidR="003C380E" w:rsidRDefault="003C380E">
      <w:pPr>
        <w:rPr>
          <w:rFonts w:hint="eastAsia"/>
        </w:rPr>
      </w:pPr>
    </w:p>
    <w:sectPr w:rsidR="003C380E" w:rsidSect="00D5746B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37" w:rsidRDefault="00861137" w:rsidP="00B51827">
      <w:r>
        <w:separator/>
      </w:r>
    </w:p>
  </w:endnote>
  <w:endnote w:type="continuationSeparator" w:id="0">
    <w:p w:rsidR="00861137" w:rsidRDefault="00861137" w:rsidP="00B5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标准公文_仿宋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37" w:rsidRDefault="00861137" w:rsidP="00B51827">
      <w:r>
        <w:separator/>
      </w:r>
    </w:p>
  </w:footnote>
  <w:footnote w:type="continuationSeparator" w:id="0">
    <w:p w:rsidR="00861137" w:rsidRDefault="00861137" w:rsidP="00B5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56"/>
    <w:rsid w:val="003C380E"/>
    <w:rsid w:val="003E3856"/>
    <w:rsid w:val="00861137"/>
    <w:rsid w:val="00B5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05771"/>
  <w15:chartTrackingRefBased/>
  <w15:docId w15:val="{1EA9E41D-0341-4195-81D2-AB68114B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1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1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张昊</cp:lastModifiedBy>
  <cp:revision>2</cp:revision>
  <dcterms:created xsi:type="dcterms:W3CDTF">2024-01-02T09:27:00Z</dcterms:created>
  <dcterms:modified xsi:type="dcterms:W3CDTF">2024-01-02T09:27:00Z</dcterms:modified>
</cp:coreProperties>
</file>